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27 - Polizia municipale - Trattamento di dati relativi all'attivita' di vigilanza edilizia, in materia di ambiente e sanita', nonche' di polizia mortuaria</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Santinelli Sergio</w:t>
            </w:r>
          </w:p>
          <w:p>
            <w:pPr>
              <w:jc w:val="both"/>
            </w:pPr>
            <w:r>
              <w:rPr>
                <w:sz w:val="22"/>
                <w:szCs w:val="22"/>
              </w:rPr>
              <w:t xml:space="preserve">Sig.ra Fiorino Gabriella</w:t>
            </w:r>
          </w:p>
          <w:p>
            <w:pPr>
              <w:jc w:val="both"/>
            </w:pPr>
            <w:r>
              <w:rPr>
                <w:sz w:val="22"/>
                <w:szCs w:val="22"/>
              </w:rPr>
              <w:t xml:space="preserve">Sig.ra Giardelli Monica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27 - I dati giudiziari e sulla salute vengono acquisiti attraverso i controlli svolti sul territorio, che sono effettuati su iniziativa d'ufficio, ovvero su richiesta di privati, di enti e di associazioni; oltre alla verifica in loco, vengono avviati i necessari accertamenti presso gli uffici competenti, al termine dei quali viene predisposta una relazione finale con l'indicazione delle eventuali violazioni in materia sanitaria o ambientale riscontrate. In tal caso, si procede a trasmetterle alle competenti autorita' amministrative o penali. Vengono, inoltre,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 Per quanto concerne l'attivita' di polizia mortuaria, ed i connessi servizi cimiteriali, i dati vengono forniti direttamente dagli interessati, dai familiari o dal rappresentante della comunita' religiosa, che presentano apposita domanda al Comune al fine di ottenere delle particolari forme di sepoltura. I dati sulla salute vengono trattati in quanto i medici debbono denunciare al sindaco la malattia che, a loro giudizio, sarebbe stata la causa di morte di persona da loro assistita. Il comune a sua volta comunica le cause di morte all'ISTAT per le rilevazioni annuali, nonche' alla ASL competente per territorio per l'aggiornamento del registro delle cause di morte.</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28.02.1985, n. 47 - D.Lgs. 5.02.1997, n. 22 - D.Lgs. 29.10.1999, n. 490 - D.P.R. 10.09.1990, n. 285 - regolamento comunale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Sistema informativo relativo ad autorizzazioni, monitoraggio e controllo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lo stato di salute: patologie attuali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Trattamento effettuato per finalita' relative a: attivita' di polizia amministrativa locale, con particolare riferimento ai servizi di igiene, di polizia mortuaria e ai controlli in materia di ambiente compreso l'inquinamento acustico, tutela delle risorse idriche e difesa del suolo.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Trattamento effettuato per rilevanti finalita' di interesse pubblico nella seguente materia: attivita' di controllo e ispettive ai sensi dell'art. 2-sexies, comma 2 lett. l) D.Lgs. n. 196/2003 come modificato dal D.Lgs. n. 101/2018 (attivita' di polizia amministrativa locale, con particolare riferimento ai servizi di igiene, di polizia mortuaria e ai controlli in materia di ambiente compreso l'inquinamento acustico, tutela delle risorse idriche e difesa del suolo)</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27 - Particolari forme di elaborazione - Comunicazione ai seguenti soggetti per le seguenti finalita' (con specificazione ed indicazione dell'eventuale base normativa): </w:t>
            </w:r>
          </w:p>
          <w:p>
            <w:pPr>
              <w:jc w:val="both"/>
            </w:pPr>
            <w:r>
              <w:rPr>
                <w:sz w:val="22"/>
                <w:szCs w:val="22"/>
              </w:rPr>
              <w:t xml:space="preserve">a) ISTAT (per le rilevazioni annuali della cause di morte); </w:t>
            </w:r>
          </w:p>
          <w:p>
            <w:pPr>
              <w:jc w:val="both"/>
            </w:pPr>
            <w:r>
              <w:rPr>
                <w:sz w:val="22"/>
                <w:szCs w:val="22"/>
              </w:rPr>
              <w:t xml:space="preserve">b) ASL (per l'aggiornamento del registro delle cause di morte); </w:t>
            </w:r>
          </w:p>
          <w:p>
            <w:pPr>
              <w:jc w:val="both"/>
            </w:pPr>
            <w:r>
              <w:rPr>
                <w:sz w:val="22"/>
                <w:szCs w:val="22"/>
              </w:rPr>
              <w:t xml:space="preserve">c) all'ente gestore degli alloggi mortuari (per l'erogazione del servizio)</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Cittadini italiani</w:t>
            </w:r>
          </w:p>
          <w:p>
            <w:pPr>
              <w:jc w:val="both"/>
            </w:pPr>
            <w:r>
              <w:rPr>
                <w:sz w:val="22"/>
                <w:szCs w:val="22"/>
              </w:rPr>
              <w:t xml:space="preserve">- Persone giuridiche ed altri enti (comprende societa' di persone)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Organismi del servizio sanitario nazionale</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Gestione e dislocamento delle salme</w:t>
      </w:r>
    </w:p>
    <w:p>
      <w:pPr>
        <w:jc w:val="both"/>
      </w:pPr>
      <w:r>
        <w:rPr>
          <w:sz w:val="22"/>
          <w:szCs w:val="22"/>
        </w:rPr>
        <w:t xml:space="preserve">Gestione delle sepolture e dei loculi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