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05 - Area tecnica Lavori Pubblici e Ambiente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Gestione Patrimonio Immobiliare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Gestione Patrimonio Immobiliare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05 - Area tecnica Lavori Pubblici e Ambiente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Gestione Patrimonio Immobiliare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Gestione Patrimonio Immobiliare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Arch. Braccesi Priscilla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Cavicchioli Gaetano</w:t>
            </w:r>
          </w:p>
          <w:p>
            <w:pPr>
              <w:jc w:val="both"/>
            </w:pPr>
            <w:r>
              <w:rPr>
                <w:sz w:val="22"/>
                <w:szCs w:val="22"/>
              </w:rPr>
              <w:t xml:space="preserve">Dott.ssa Mazzanti Agnese</w:t>
            </w:r>
          </w:p>
          <w:p>
            <w:pPr>
              <w:jc w:val="both"/>
            </w:pPr>
            <w:r>
              <w:rPr>
                <w:sz w:val="22"/>
                <w:szCs w:val="22"/>
              </w:rPr>
              <w:t xml:space="preserve">sig. Corsi Francesco</w:t>
            </w:r>
          </w:p>
          <w:p>
            <w:pPr>
              <w:jc w:val="both"/>
            </w:pPr>
            <w:r>
              <w:rPr>
                <w:sz w:val="22"/>
                <w:szCs w:val="22"/>
              </w:rPr>
              <w:t xml:space="preserve">Dott. Dini Carlo</w:t>
            </w:r>
          </w:p>
          <w:p>
            <w:pPr>
              <w:jc w:val="both"/>
            </w:pPr>
            <w:r>
              <w:rPr>
                <w:sz w:val="22"/>
                <w:szCs w:val="22"/>
              </w:rPr>
              <w:t xml:space="preserve">Sig. Pisani Yuri</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 D.Lgs. 267/2000 T.U.E.L.</w:t>
            </w:r>
          </w:p>
          <w:p>
            <w:pPr>
              <w:jc w:val="both"/>
            </w:pPr>
            <w:r>
              <w:rPr>
                <w:sz w:val="22"/>
                <w:szCs w:val="22"/>
              </w:rPr>
              <w:t xml:space="preserve">- D.Lgs. 50/2016</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comuni, diversi dai dati particolari</w:t>
            </w:r>
          </w:p>
          <w:p>
            <w:pPr>
              <w:jc w:val="both"/>
            </w:pPr>
            <w:r>
              <w:rPr>
                <w:sz w:val="22"/>
                <w:szCs w:val="22"/>
              </w:rPr>
              <w:t xml:space="preserve">- Dati di accesso e di identificazione (user name, password, customer ID, altro)</w:t>
            </w:r>
          </w:p>
          <w:p>
            <w:pPr>
              <w:jc w:val="both"/>
            </w:pPr>
            <w:r>
              <w:rPr>
                <w:sz w:val="22"/>
                <w:szCs w:val="22"/>
              </w:rPr>
              <w:t xml:space="preserve">-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sensibili</w:t>
            </w:r>
          </w:p>
          <w:p>
            <w:pPr>
              <w:jc w:val="both"/>
            </w:pPr>
            <w:r>
              <w:rPr>
                <w:sz w:val="22"/>
                <w:szCs w:val="22"/>
              </w:rPr>
              <w:t xml:space="preserve">- Dati relativi all'affidabilita' nell'esecuzione dei contratti pubblici</w:t>
            </w:r>
          </w:p>
          <w:p>
            <w:pPr>
              <w:jc w:val="both"/>
            </w:pPr>
            <w:r>
              <w:rPr>
                <w:sz w:val="22"/>
                <w:szCs w:val="22"/>
              </w:rPr>
              <w:t xml:space="preserve">- Dati comuni identificativi</w:t>
            </w:r>
          </w:p>
          <w:p>
            <w:pPr>
              <w:jc w:val="both"/>
            </w:pPr>
            <w:r>
              <w:rPr>
                <w:sz w:val="22"/>
                <w:szCs w:val="22"/>
              </w:rPr>
              <w:t xml:space="preserve">- Indirizzo di posta elettronica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pPr>
              <w:jc w:val="both"/>
            </w:pPr>
            <w:r>
              <w:rPr>
                <w:sz w:val="22"/>
                <w:szCs w:val="22"/>
              </w:rPr>
              <w:t xml:space="preserve">-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p>
            <w:pPr>
              <w:jc w:val="both"/>
            </w:pPr>
            <w:r>
              <w:rPr>
                <w:sz w:val="22"/>
                <w:szCs w:val="22"/>
              </w:rPr>
              <w:t xml:space="preserve">-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dello Stato</w:t>
            </w:r>
          </w:p>
          <w:p>
            <w:pPr>
              <w:jc w:val="both"/>
            </w:pPr>
            <w:r>
              <w:rPr>
                <w:sz w:val="22"/>
                <w:szCs w:val="22"/>
              </w:rPr>
              <w:t xml:space="preserve">-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APPARECCHIATURE-ICT: attacchi informatici/azione di virus/codici maligni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INCIDENTI: crimeware (malware che mirano a ottenere il controllo dei sistemi)</w:t>
            </w:r>
          </w:p>
          <w:p>
            <w:pPr>
              <w:jc w:val="both"/>
            </w:pPr>
            <w:r>
              <w:rPr>
                <w:sz w:val="22"/>
                <w:szCs w:val="22"/>
              </w:rPr>
              <w:t xml:space="preserve">-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-TRATTAMENTI ELETTRONICI: utilizzo di parole chiave non adeguate</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MS-ORG-09 - ESERCIZIO DIRITTI: misure organizzative per favorire l'esercizio dei diritti e il riscontro alle richieste presentate dagli interessati garantendo, in particolare, l'intelligibilita' e la completezza del riscontro fornito agli interessati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MS-ORG-15 - SISTEMA GESTIONE PRIVACY: prescrizione di linee - guida di sicurezza</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MS-PO-05 - PROCEDURA OPERATIVA (PO): definizione e attuazione procedura operativa per la gestione delle credenziali di autenticazione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regolamento generale sulla protezione dei dati e' provata dal documento di preliminare determinazione della possibilita' che il trattamento possa avere un rischio elevato nonche', in caso di rischio elevato, dal documento di DPIA</w:t>
            </w:r>
          </w:p>
          <w:p>
            <w:pPr>
              <w:jc w:val="both"/>
            </w:pPr>
            <w:r>
              <w:rPr>
                <w:sz w:val="22"/>
                <w:szCs w:val="22"/>
              </w:rPr>
              <w:t xml:space="preserve">-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Concessione a titolo gratuito delle sale e immobili del patrimonio comunale</w:t>
      </w:r>
    </w:p>
    <w:p>
      <w:pPr>
        <w:jc w:val="both"/>
      </w:pPr>
      <w:r>
        <w:rPr>
          <w:sz w:val="22"/>
          <w:szCs w:val="22"/>
        </w:rPr>
        <w:t xml:space="preserve">Concessioni canali demaniali irrigui</w:t>
      </w:r>
    </w:p>
    <w:p>
      <w:pPr>
        <w:jc w:val="both"/>
      </w:pPr>
      <w:r>
        <w:rPr>
          <w:sz w:val="22"/>
          <w:szCs w:val="22"/>
        </w:rPr>
        <w:t xml:space="preserve">Locazione immobili urbani</w:t>
      </w:r>
    </w:p>
    <w:p>
      <w:pPr>
        <w:jc w:val="both"/>
      </w:pPr>
      <w:r>
        <w:rPr>
          <w:sz w:val="22"/>
          <w:szCs w:val="22"/>
        </w:rPr>
        <w:t xml:space="preserve">Vendita beni patrimonio disponibile mediante asta pubblica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