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GIUNTA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Giunta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37 - I dati vengono raccolti presso gli interessati i quali possono richiedere, per particolari iniziative, il patrocinio e/o l'erogazione di un contributo economico e/o la collaborazione dell'Amministrazione Comunale. Al fine di valutare eventuali cause ostative all'erogazione di un contributo, viene acquisita la posizione debitoria con una dichiarazione sostitutiva ai sensi degli artt. 46 e 47 del D.P.R. 445/2000. Altri dati sensibili possono emergere dagli Statuti delle associazioni, enti, fondazioni. Queste informazioni, eccetto quelle idonee a rivelare lo stato di salute, possono inoltre essere diffuse ai sensi del D.Lgs. n.267/2000 in ottemperanza al regime di pubblicita' degli atti (pubblicazioni Albo Pretorio). Con riferimento alle attivita' relative alla concessione di benefici, al riconoscimento di benefici il trattamento di dati sensibili si rende necessario sia per la concessione o l'assegnazione stesse, sia per la predisposizione delle graduatorie dei beneficiari, che vengono rese pubbliche ove previsto dalla relativa normativa, fermo restando il divieto di diffondere i dati sulla salute ai sensi degli artt. 22, comma 8, e 68, comma 3, del d.lgs. n. 196/2003. I dati vengono forniti direttamente dagli interessati, che presentano apposita domanda di contributo al Comune, oppure da terzi (anagrafe, autorita' giudiziaria, ASL, provincia, altri servizi comunali, i quali effettuano dei servizi di sostegno in favore dell'utente che versa in stato di indigenza). </w:t>
      </w:r>
    </w:p>
    <w:p>
      <w:pPr>
        <w:jc w:val="both"/>
      </w:pPr>
      <w:r>
        <w:rPr>
          <w:sz w:val="22"/>
          <w:szCs w:val="22"/>
        </w:rPr>
        <w:t xml:space="preserve">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3/3/1951, n.178; art.12 L.241/90; Regolamenti comunali in materia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Sistema informativo relativo a concessione di onorificenze, ricompense, contributi, sussidi e benefici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convinzioni politiche</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rivelare lo stato di disabilita'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Trattamento effettuato per finalita' di diritti sociali, politiche sociali e famiglia.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Trattamento effettuato per rilevanti finalita' nella seguente materia: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ai sensi dell'art. 2-sexies, comma 2 lett. n)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37 - Particolari forme di elaborazione - Comunicazione ai seguenti soggetti per le seguenti finalita' (con specificazione ed indicazione dell'eventuale base normativa): istanti, beneficiari (ai sensi del Regolamento per la concessione di contributi e delle normative nello stesso richiamate)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disabili</w:t>
            </w:r>
          </w:p>
          <w:p>
            <w:pPr>
              <w:jc w:val="both"/>
            </w:pPr>
            <w:r>
              <w:rPr>
                <w:sz w:val="22"/>
                <w:szCs w:val="22"/>
              </w:rPr>
              <w:t xml:space="preserve">- Persone fisiche</w:t>
            </w:r>
          </w:p>
          <w:p>
            <w:pPr>
              <w:jc w:val="both"/>
            </w:pPr>
            <w:r>
              <w:rPr>
                <w:sz w:val="22"/>
                <w:szCs w:val="22"/>
              </w:rPr>
              <w:t xml:space="preserve">- Persone in cerca di occupazione</w:t>
            </w:r>
          </w:p>
          <w:p>
            <w:pPr>
              <w:jc w:val="both"/>
            </w:pPr>
            <w:r>
              <w:rPr>
                <w:sz w:val="22"/>
                <w:szCs w:val="22"/>
              </w:rPr>
              <w:t xml:space="preserve">- Soggetti in difficolta' o pericolo (anche potenziali)</w:t>
            </w:r>
          </w:p>
          <w:p>
            <w:pPr>
              <w:jc w:val="both"/>
            </w:pPr>
            <w:r>
              <w:rPr>
                <w:sz w:val="22"/>
                <w:szCs w:val="22"/>
              </w:rPr>
              <w:t xml:space="preserve">- Soggetti con limitata capacita' di intendere e volere</w:t>
            </w:r>
          </w:p>
          <w:p>
            <w:pPr>
              <w:jc w:val="both"/>
            </w:pPr>
            <w:r>
              <w:rPr>
                <w:sz w:val="22"/>
                <w:szCs w:val="22"/>
              </w:rPr>
              <w:t xml:space="preserve">- Scolari o studenti di ogni ordine e grado</w:t>
            </w:r>
          </w:p>
          <w:p>
            <w:pPr>
              <w:jc w:val="both"/>
            </w:pPr>
            <w:r>
              <w:rPr>
                <w:sz w:val="22"/>
                <w:szCs w:val="22"/>
              </w:rPr>
              <w:t xml:space="preserve">- Rifugiati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Concessioni discrezionali non vincolate di contributi, benefici, esoneri e sovvenzioni (Provvedimenti amministrativi discrezionali nell'an e nel contenuto)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