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49 - Uffici Segreteria e Ragioneria - Trattamento di dati relativi a transazioni, lasciti, donazioni o altri atti di straordinaria amministrazione ovvero accordi integrativi o sostitutivi del provvedimento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GIUNTA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Giunta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49 - I dati vengono raccolti per la conclusione di transazioni e per la gestione di lasciti, donazioni o altri atti di straordinaria amministrazione ovvero accordi integrativi o sostitutivi del provvedimento. Particolari forme di elaborazione tramite interconnessione e raffronto dati con altri soggetti pubblici o privati: amministrazioni certificanti ai sensi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Codice Civile - Codice procedura Civile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Sistema informativo relativo a beni immobili, demaniali e patrimoniali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rivelare l'origine razziale ed etnica</w:t>
            </w:r>
          </w:p>
          <w:p>
            <w:pPr>
              <w:jc w:val="both"/>
            </w:pPr>
            <w:r>
              <w:rPr>
                <w:sz w:val="22"/>
                <w:szCs w:val="22"/>
              </w:rPr>
              <w:t xml:space="preserve">- Dati idonei a rilevare la posizione di beni, strumenti, oggetti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w:t>
            </w:r>
          </w:p>
          <w:p>
            <w:pPr>
              <w:jc w:val="both"/>
            </w:pPr>
            <w:r>
              <w:rPr>
                <w:sz w:val="22"/>
                <w:szCs w:val="22"/>
              </w:rPr>
              <w:t xml:space="preserve">(in particolare con riferimento alla verifica della legittimita' di lasciti e transazioni nonche' donazioni e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49 - Particolari forme di elaborazione - Comunicazione ai seguenti soggetti per le seguenti finalita' (con specificazione ed indicazione dell'eventuale base normativa): a) altre amministrazioni e soggetti privati (ai sensi del Regolamento sulla disciplina dei contratti, del Regolamento di contabilita' e della normativa dagli stessi richiamata)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Persone giuridiche ed altri enti (comprende societa' di persone)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Convenzioni, transazioni ed ogni disposizione patrimoniale di straordinaria amministrazione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