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01 - SEGRETARIO COMUNALE</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Segretario Comunale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Segretario Comunale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60 - Ufficio Segreteria/Contratti - Trattamento di dati relativi all'attivita' contrattuale (controlli, stipula, diritti di segreteria/rogito, repertorio)</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01 - SEGRETARIO COMUNALE</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Segretario Comunale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Segretario Comunale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Rossi Antonella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Mancini Alberto</w:t>
            </w:r>
          </w:p>
          <w:p>
            <w:pPr>
              <w:jc w:val="both"/>
            </w:pPr>
            <w:r>
              <w:rPr>
                <w:sz w:val="22"/>
                <w:szCs w:val="22"/>
              </w:rPr>
              <w:t xml:space="preserve">Dott. Tacchella Stefano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60 - I dati vengono raccolti sia presso l'ente, sia presso terzi, sia presso gli interessati (concorrenti alle procedure di affidamento di contratti pubblici) al fine della stipulazione dei contratti. Il trattamento puo' includere anche dati vulnerabili e sensibili. Basti pensare che prima di procedere alla stipulazione dei contratti l'amministrazione deve verificare in capo al contraente il possesso dei requisiti per la stipulazione con la P.a., e tra queste informazioni rientrano pure i dati giudiziari. Non solo. Anche lo stesso contenuto contrattuale puo' riguardare il trattamento di dati sensibili o giudiziari. Vengono effettuate operazioni ordinarie di elaborazione, sia con mezzi elettronici che su supporto cartaceo tramite sistema informativo, di appalti, concessioni, autorizzazioni al subappalto contratti di partenariato pubblico privato, comunicata all'Agenzia per l'Italia digitale in attuazione dell'art. 24-quater, comma 2, del D.L. n. 90/2014, convertito in L. n.114/2014.</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60 -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Codice Civile e di procedura civile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60 - Sistema informativo relativo alla gestione rapporti contrattuali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60 - Trattamento effettuato per finalita' di adempimento di obblighi contrattuali e precontrattuali.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60 - Trattamento effettuato per rilevanti finalita' di interesse pubblico nella seguente materia: volgimento delle funzioni di controllo, indirizzo politico,inchiesta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60 - Particolari forme di elaborazione - Comunicazione ai seguenti soggetti per le seguenti finalita' (con specificazione ed indicazione dell'eventuale base normativa): a) soggetti privati e pubblici (D.Lgs. 267/2000 - Codice di procedura civile)</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Concorrenti alle procedure di affidamento di contratti pubblici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Rogito atti segretario comunale</w:t>
      </w:r>
    </w:p>
    <w:p>
      <w:pPr>
        <w:jc w:val="both"/>
      </w:pPr>
      <w:r>
        <w:rPr>
          <w:sz w:val="22"/>
          <w:szCs w:val="22"/>
        </w:rPr>
        <w:t xml:space="preserve">Autenticazione scritture private</w:t>
      </w:r>
    </w:p>
    <w:p>
      <w:pPr>
        <w:jc w:val="both"/>
      </w:pPr>
      <w:r>
        <w:rPr>
          <w:sz w:val="22"/>
          <w:szCs w:val="22"/>
        </w:rPr>
        <w:t xml:space="preserve">Trascrizione decreti esproprio e altri</w:t>
      </w:r>
    </w:p>
    <w:p>
      <w:pPr>
        <w:jc w:val="both"/>
      </w:pPr>
      <w:r>
        <w:rPr>
          <w:sz w:val="22"/>
          <w:szCs w:val="22"/>
        </w:rPr>
        <w:t xml:space="preserve">Liquidazione diritti di segreteria</w:t>
      </w:r>
    </w:p>
    <w:p>
      <w:pPr>
        <w:jc w:val="both"/>
      </w:pPr>
      <w:r>
        <w:rPr>
          <w:sz w:val="22"/>
          <w:szCs w:val="22"/>
        </w:rPr>
        <w:t xml:space="preserve">Registrazione contratti</w:t>
      </w:r>
    </w:p>
    <w:p>
      <w:pPr>
        <w:jc w:val="both"/>
      </w:pPr>
      <w:r>
        <w:rPr>
          <w:sz w:val="22"/>
          <w:szCs w:val="22"/>
        </w:rPr>
        <w:t xml:space="preserve">Adempimenti conseguenti alla stipula del contratto: registrazione anni successivi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