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SCUOLA E BIBLIOTECA</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Scuola e Biblioteca</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21 - Istruzione e cultura - Trattamento di dati relativi alla gestione degli asili nido comunali e dei servizi per l'infanzia e delle scuole materne elementari e medie</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SCUOLA E BIBLIOTECA</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Scuola e Biblioteca</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 Mancini Alberto</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21 - I dati sensibili degli alunni, relativi alle specifiche situazioni patologiche del minore, possono essere comunicati direttamente dalla famiglia. Inoltre, alcune particolari scelte per il servizio di mensa (pasti vegetariani o rispondenti a determinati dettami religiosi) possono essere idonee a rivelare le convinzioni (religiose, filosofiche o di altro genere) dei genitori degli alunni. Infine, il dato sull'origine etnica si potrebbe desumere dalla particolare nazionalita' dell'interessato. Le informazioni raccolte possono essere comunicate sia ad eventuali gestori esterni del servizio mense, che provvedono all'erogazione del servizio; sia a societa' che effettuano il servizio di trasporto scolastico.</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21 -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L. 6.12.1971, n. 1044 - D.Lgs. 31.03.1998, n. 112 (art. 139) - L. 5.02.1992, n. 104 (art. 13)</w:t>
            </w:r>
          </w:p>
          <w:p>
            <w:pPr>
              <w:jc w:val="both"/>
            </w:pPr>
            <w:r>
              <w:rPr>
                <w:sz w:val="22"/>
                <w:szCs w:val="22"/>
              </w:rPr>
              <w:t xml:space="preserve">-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21 - Sistema informativo relativo ad asili nido e scuola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convinzioni religiose</w:t>
            </w:r>
          </w:p>
          <w:p>
            <w:pPr>
              <w:jc w:val="both"/>
            </w:pPr>
            <w:r>
              <w:rPr>
                <w:sz w:val="22"/>
                <w:szCs w:val="22"/>
              </w:rPr>
              <w:t xml:space="preserve">- Dati idonei a rilevare convinzioni filosofiche</w:t>
            </w:r>
          </w:p>
          <w:p>
            <w:pPr>
              <w:jc w:val="both"/>
            </w:pPr>
            <w:r>
              <w:rPr>
                <w:sz w:val="22"/>
                <w:szCs w:val="22"/>
              </w:rPr>
              <w:t xml:space="preserve">- Dati idonei a rivelare convinzioni di altro genere (diverse dalle convinzioni religiose o filosofiche)</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patologie pregresse</w:t>
            </w:r>
          </w:p>
          <w:p>
            <w:pPr>
              <w:jc w:val="both"/>
            </w:pPr>
            <w:r>
              <w:rPr>
                <w:sz w:val="22"/>
                <w:szCs w:val="22"/>
              </w:rPr>
              <w:t xml:space="preserve">- Dati idonei a rilevare lo stato di salute: terapie in corso</w:t>
            </w:r>
          </w:p>
          <w:p>
            <w:pPr>
              <w:jc w:val="both"/>
            </w:pPr>
            <w:r>
              <w:rPr>
                <w:sz w:val="22"/>
                <w:szCs w:val="22"/>
              </w:rPr>
              <w:t xml:space="preserve">- Dati idonei a rivelare l'origine razziale ed etnica</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21 - Trattamento effettuato per finalita' relative a: gestione di asili nido e delle scuole per l'infanzia.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21 - Trattamento effettuato per rilevanti finalita' di interesse pubblico nella seguente materia: attivita' socio-assistenziali a tutela dei minori e soggetti bisognosi, non autosufficienti e incapaci ai sensi dell'art. 2-sexies, comma 2, lett. s), D.Lgs. n. 196/2003 come modificato dal D.Lgs. n. 101/2018 (gestione di asili nido e delle scuole per l'infanzia)</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21 - Particolari forme di elaborazione - Comunicazione ai seguenti soggetti per le seguenti finalita' (con specificazione ed indicazione dell'eventuale base normativa): Gestori esterni delle mense e societa' di trasporto (per garantire l'erogazione del servizio)</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Utenti (anche potenziali)</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Medio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Asili nido</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