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33 - Trattamento di dati relativi all'attivita' politica, di indirizzo e di controllo, sindacato ispettivo e documentazione dell'attivita' istituzionale degli organi comunali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33 - Nell'ambito delle proprie prerogative, i consiglieri comunali e gli amministratori possono formulare atti sia di indirizzo politico (quali mozioni, ordini del giorno e risoluzioni), sia di sindacato ispettivo (presentando interrogazioni ed interpellanze alla Giunta comunale), secondo le modalita' stabilite dallo Statuto dal regolamento interno del Consiglio comunale. Le predette attivita' possono comportare il trattamento di dati sensibili e giudiziari riguardanti le persone oggetto di mozioni, ordini del giorno, risoluzioni, interrogazioni o interpellanze. Queste informazioni, eccetto quelle idonee a rivelare lo stato di salute, possono inoltre essere diffuse ai sensi del d.lg. n. 267/200 in ottemperanza al regime di pubblicita' degli atti e delle sedute dei consigli comunali, delle commissioni e degli altri organi comunali (art. 65, comma 5, d.lg. n. 196/2003). Le attivita' ricomprese in questo trattamento sono le attivita' di competenza degli Organi istituzionali (Sindaco, Giunta, Consiglio e commissioni consiliari) nonche' degli Uffici di gestione giuridica del personale dipendente, di Relazioni con il Pubblico.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18.08.2000, n. 267 - Statuto e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degli Organi istituzionali: Sindaco, Giunta, Consiglio e commissioni consiliari nonche' degli Uffici di gestione giuridica del personale dipendente, di Relazioni con il Pubblico.</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Sistema informativo relativo all'attivita' politica, di indirizzo e di controllo, sindacato ispettivo e documentazione dell'attivita' istituzionale degli organi comunali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rilevare lo stato di salute: anamnesi familiare</w:t>
            </w:r>
          </w:p>
          <w:p>
            <w:pPr>
              <w:jc w:val="both"/>
            </w:pPr>
            <w:r>
              <w:rPr>
                <w:sz w:val="22"/>
                <w:szCs w:val="22"/>
              </w:rPr>
              <w:t xml:space="preserve">- Dati idonei a rivelare la vita sessuale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Trattamento effettuato per finalita' di servizi istituzionali, generali e di gestione: Altri servizi generali.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Trattamento effettuato per rilevanti finalita' di interesse pubblico nella seguente materia: attivita' di elettorato attivo e passivo ed esercizio di altri diritti politici, protezione diplomatica e consolare, nonche' documentazione delle attivita' istituzionali di organi pubblici, con particolare riguardo alla redazione di verbali e resoconti dell'attivita' di</w:t>
            </w:r>
          </w:p>
          <w:p>
            <w:pPr>
              <w:jc w:val="both"/>
            </w:pPr>
            <w:r>
              <w:rPr>
                <w:sz w:val="22"/>
                <w:szCs w:val="22"/>
              </w:rPr>
              <w:t xml:space="preserve"> assemblee rappresentative, commissioni e di altri organi collegiali o assembleari ai sensi dell'art. 2-sexies, comma 2 lett. f) D.Lgs. n. 196/2003 come modificato dal D.Lgs. n. 101/2018 (controllo, di indirizzo politico e di sindacato ispettivo e documentazione dell'attivita' istituzionale di organi pubblici)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33 - Comunicazione ai seguenti soggetti per le seguenti finalita' (con specificazione ed indicazione dell'eventuale base normativa): amministrazioni interessate o partecipi delle questioni oggetto dell'attivita' politica, di controllo e di sindacato ispettivo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pubblicita' dei lavori dei consigli comunali, delle commissioni e degli altri organi comunali (D.Lgs. n.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Amministratori</w:t>
            </w:r>
          </w:p>
          <w:p>
            <w:pPr>
              <w:jc w:val="both"/>
            </w:pPr>
            <w:r>
              <w:rPr>
                <w:sz w:val="22"/>
                <w:szCs w:val="22"/>
              </w:rPr>
              <w:t xml:space="preserve">- Enti locali</w:t>
            </w:r>
          </w:p>
          <w:p>
            <w:pPr>
              <w:jc w:val="both"/>
            </w:pPr>
            <w:r>
              <w:rPr>
                <w:sz w:val="22"/>
                <w:szCs w:val="22"/>
              </w:rPr>
              <w:t xml:space="preserve">- Revisori</w:t>
            </w:r>
          </w:p>
          <w:p>
            <w:pPr>
              <w:jc w:val="both"/>
            </w:pPr>
            <w:r>
              <w:rPr>
                <w:sz w:val="22"/>
                <w:szCs w:val="22"/>
              </w:rPr>
              <w:t xml:space="preserve">- Segretario comunale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Controllo strategico ai sensi dell'art. 147-ter del D.Lgs. 267/2000</w:t>
      </w:r>
    </w:p>
    <w:p>
      <w:pPr>
        <w:jc w:val="both"/>
      </w:pPr>
      <w:r>
        <w:rPr>
          <w:sz w:val="22"/>
          <w:szCs w:val="22"/>
        </w:rPr>
        <w:t xml:space="preserve">Istruttoria delle deliberazioni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