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42 - 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42 - Particolari forme di elaborazione - Comunicazione ai seguenti soggetti per le seguenti finalita' (con specificazione ed indicazione dell'eventuale base normativa):</w:t>
            </w:r>
          </w:p>
          <w:p>
            <w:pPr>
              <w:jc w:val="both"/>
            </w:pPr>
            <w:r>
              <w:rPr>
                <w:sz w:val="22"/>
                <w:szCs w:val="22"/>
              </w:rPr>
              <w:t xml:space="preserve">a) Autorita' giudiziaria, autorita' di pubblica sicurezza (per accertamenti di carattere giudiziario);</w:t>
            </w:r>
          </w:p>
          <w:p>
            <w:pPr>
              <w:jc w:val="both"/>
            </w:pPr>
            <w:r>
              <w:rPr>
                <w:sz w:val="22"/>
                <w:szCs w:val="22"/>
              </w:rPr>
              <w:t xml:space="preserve">b) al RUP e alla stazione appaltante (D.Lgs. n. 50/2016);</w:t>
            </w:r>
          </w:p>
          <w:p>
            <w:pPr>
              <w:jc w:val="both"/>
            </w:pPr>
            <w:r>
              <w:rPr>
                <w:sz w:val="22"/>
                <w:szCs w:val="22"/>
              </w:rPr>
              <w:t xml:space="preserve">c) alle autorita' amministrative di vigilanza (D.Lgs. n. 50/2016)</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Controllo successivo di regolarita' amministrativa e contabile ai sensi dell'art. 147-bis del D.Lgs. 267/2000</w:t>
      </w:r>
    </w:p>
    <w:p>
      <w:pPr>
        <w:jc w:val="both"/>
      </w:pPr>
      <w:r>
        <w:rPr>
          <w:sz w:val="22"/>
          <w:szCs w:val="22"/>
        </w:rPr>
        <w:t xml:space="preserve">Controllo - Ispezione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