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16 - Servizi sociali - Trattamento di dati relativi all'attivita' di sostegno delle persone bisognose o non autosufficienti in materia di servizio pubblico di trasporto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G. Di Vittorio Societa' Cooperativa Sociale Onlus </w:t>
            </w:r>
          </w:p>
          <w:p>
            <w:pPr>
              <w:jc w:val="both"/>
            </w:pPr>
            <w:r>
              <w:rPr>
                <w:sz w:val="22"/>
                <w:szCs w:val="22"/>
              </w:rPr>
              <w:t xml:space="preserve">Cooperativa Sociale C.I.S.S.E.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16 - I dati vengono forniti dall'interessato, ovvero dai suoi tutori o dai suoi curatori, i quali presentano un'apposita istanza corredata della necessaria documentazione sanitaria. Alcune informazioni possono essere acquisite anche dalla ASL in quanto i comuni, d'intesa con le aziende unita' sanitarie locali, possono predisporre su richiesta dell'interessato, un progetto individuale di integrazione e sostegno sociale. I dati vengono comunicati all'ente, all' impresa o all'associazione che effettua il servizio di trasporto.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5.02.1992, n. 104 - L. 8.11.2000, n. 328 - leggi regionali</w:t>
            </w:r>
          </w:p>
          <w:p>
            <w:pPr>
              <w:jc w:val="both"/>
            </w:pPr>
            <w:r>
              <w:rPr>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 D.Lgs. 50/2016</w:t>
            </w:r>
          </w:p>
          <w:p>
            <w:pPr>
              <w:jc w:val="both"/>
            </w:pPr>
            <w:r>
              <w:rPr>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 L. 104/1992 - Legge quadro per l'assistenza, integrazione sociale e diritti delle persone handicappate - Legge regionale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16 - Sistema informativo relativo ad assistenza diretta e indiretta, benefici economici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16 - Trattamento effettuato per finalita' di adempimenti previdenziali - assistenziali.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16 - Trattamento effettuato per rilevanti finalita' di interesse pubblico nella seguente materia: tutela sociale della maternita' ed interruzione volontaria della gravidanza, dipendenze, assistenza, integrazione sociale e diritti dei disabili ai sensi dell'art. 2-sexies, comma 2 lett. aa) D.Lgs. n. 196/2003 come modificato dal D.Lgs. n. 101/2018 ( interventi anche di rilievo sanitario in favore di soggetti bisognosi o non autosufficienti o incapaci, ivi compresi i servizi di assistenza economica o domiciliare, di telesoccorso, accompagnamento e trasporto)</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16 - Particolari forme di elaborazione - Comunicazione ai seguenti soggetti per le seguenti finalita' (con specificazione ed indicazione dell'eventuale base normativa): enti, imprese o associazioni convenzionati che gestiscono il servizio di trasporto (per garantire l'erogazione del servizio)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p>
            <w:pPr>
              <w:jc w:val="both"/>
            </w:pPr>
            <w:r>
              <w:rPr>
                <w:sz w:val="22"/>
                <w:szCs w:val="22"/>
              </w:rPr>
              <w:t xml:space="preserve">- Assistiti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Servizio di trasporto anziani</w:t>
      </w:r>
    </w:p>
    <w:p>
      <w:pPr>
        <w:jc w:val="both"/>
      </w:pPr>
      <w:r>
        <w:rPr>
          <w:sz w:val="22"/>
          <w:szCs w:val="22"/>
        </w:rPr>
        <w:t xml:space="preserve">Servizio trasporto extraurbano minori e disabili</w:t>
      </w:r>
    </w:p>
    <w:p>
      <w:pPr>
        <w:jc w:val="both"/>
      </w:pPr>
      <w:r>
        <w:rPr>
          <w:sz w:val="22"/>
          <w:szCs w:val="22"/>
        </w:rPr>
        <w:t xml:space="preserve">Servizio trasporto urbano minori e disabili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