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22 - Istruzione e cultura - Trattamento di dati relativi relativi all'attivita' di formazione ed in favore del diritto allo studio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22 - Formazione degli allievi disabili: le certificazioni mediche d'invalidita' vengono fornite dagli interessati per organizzare i corsi di formazione professionale o scolastica, ovvero per l'inserimento lavorativo dei disabili. Servizio per gli adolescenti in difficolta' : i dati relativi ai minori sottoposti a procedimenti penali, civili e amministrativi vengono forniti dal Tribunale per i minorenni, al fine di elaborare un progetto educativo scolastico/lavorativo coordinato con i Servizi della giustizia minorile e il suddetto Tribunale. Scuole civiche: i dati sanitari sugli alunni disabili vengono forniti dalle famiglie alle scuole civiche per elaborare un progetto educativo integrato da parte degli organi collegiali delle scuole stesse. I dati sulla religione degli alunni sono forniti dalle famiglie per giustificare eventuali assenze dalle lezioni.</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D.P.R. 24.07.1977, n. 616 - D.Lgs. 31.03.1998, n. 112 (art. 139) - Leggi regionali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22 - Sistema informativo relativo a diritto allo studio e servizi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lo stato di salute: patologie attuali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22 - Trattamento effettuato per finalita' relative a: istruzione e formazione in ambito scolastico, superiore o universitario.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22 - Trattamento effettuato per rilevanti finalita' di interesse pubblico nella seguente materia: istruzione e formazione in ambito scolastico, professionale, superiore o universitario ai sensi dell'art. 2-sexies, comma 2, lett. bb),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22 - Particolari forme di elaborazione - Comunicazione ai seguenti soggetti per le seguenti finalita' (con specificazione ed indicazione dell'eventuale base normativa): gestori esterni del servizio di trasporto scolastico</w:t>
            </w:r>
          </w:p>
          <w:p>
            <w:pPr>
              <w:jc w:val="both"/>
            </w:pPr>
            <w:r>
              <w:rPr>
                <w:sz w:val="22"/>
                <w:szCs w:val="22"/>
              </w:rPr>
              <w:t xml:space="preserve">- Altre amministrazioni ed enti pubblici</w:t>
            </w:r>
          </w:p>
          <w:p>
            <w:pPr>
              <w:jc w:val="both"/>
            </w:pPr>
            <w:r>
              <w:rPr>
                <w:sz w:val="22"/>
                <w:szCs w:val="22"/>
              </w:rPr>
              <w:t xml:space="preserve">- Particolari forme di elaborazione - Comunicazione ai seguenti soggetti per le seguenti finalita' (con specificazione ed indicazione dell'eventuale base normativa): ai soggetti interconnessi</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Servizio centro ricreativo estivo - CRE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