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Gestione economica Personale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Gestione economica del personale dipendente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Ufficio Gestione economica Personale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Ufficio Gestione economica del personale dipendente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Soggetto affidatario del servizio di elaborazione buste paghe/cedolini dipendenti dell'Ente </w:t>
            </w:r>
          </w:p>
          <w:p>
            <w:pPr>
              <w:jc w:val="both"/>
            </w:pPr>
            <w:r>
              <w:rPr>
                <w:sz w:val="22"/>
                <w:szCs w:val="22"/>
              </w:rPr>
              <w:t xml:space="preserve">Consulente del lavoro Girado Gabriella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Baldetti Giancarlo</w:t>
            </w:r>
          </w:p>
          <w:p>
            <w:pPr>
              <w:jc w:val="both"/>
            </w:pPr>
            <w:r>
              <w:rPr>
                <w:sz w:val="22"/>
                <w:szCs w:val="22"/>
              </w:rPr>
              <w:t xml:space="preserve">sig.ra Ferrini Francesca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01 - 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festivita' la cui fruizione e'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e'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attivita' di aggiornamento e formazione).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2094 - 2134) - D.P.R. 30.06.1965, n. 1124 - L. 20.05.1970, n. 300 - L. 7.02.1990, n. 19 - D.Lgs. 19.09.1994, n. 626 - L. 12.03.1999, n. 68 - Legge 8.03.2000, n. 53 - D.Lgs. 18.08.2000, n. 267 - D.Lgs. 30.03.2001, n. 165 - D.Lgs. 26.03.2001, n. 151 - L. 6.03.2001, n. 64 - D.P.R. 28.12.2000, n. 445 - D.Lgs. 15.08.1991, n. 277 - L. 14.04.1982, n. 164 - CCNL - Contratto collettivo decentrato di ogni singolo ente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01 - Comunicazione ai seguenti soggetti per le seguenti finalita' (con specificazione ed indicazione dell'eventuale base normativa): </w:t>
            </w:r>
          </w:p>
          <w:p>
            <w:pPr>
              <w:jc w:val="both"/>
            </w:pPr>
            <w:r>
              <w:rPr>
                <w:sz w:val="22"/>
                <w:szCs w:val="22"/>
              </w:rPr>
              <w:t xml:space="preserve">a) alle organizzazioni sindacali ai fini della gestione dei permessi e delle trattenute sindacali relativamente ai dipendenti che hanno rilasciato delega; </w:t>
            </w:r>
          </w:p>
          <w:p>
            <w:pPr>
              <w:jc w:val="both"/>
            </w:pPr>
            <w:r>
              <w:rPr>
                <w:sz w:val="22"/>
                <w:szCs w:val="22"/>
              </w:rPr>
              <w:t xml:space="preserve">b) enti assistenziali, previdenziali e assicurativi e autorita' locali di pubblica sicurezza a fini assistenziali e previdenziali, nonche' per rilevazione di eventuali patologie o infortuni sul lavoro; </w:t>
            </w:r>
          </w:p>
          <w:p>
            <w:pPr>
              <w:jc w:val="both"/>
            </w:pPr>
            <w:r>
              <w:rPr>
                <w:sz w:val="22"/>
                <w:szCs w:val="22"/>
              </w:rPr>
              <w:t xml:space="preserve">c) alla Presidenza del Consiglio dei Ministri in relazione alla rilevazione annuale dei permessi per cariche sindacali e funzioni pubbliche elettive (d.lgs. n. 165/2001); </w:t>
            </w:r>
          </w:p>
          <w:p>
            <w:pPr>
              <w:jc w:val="both"/>
            </w:pPr>
            <w:r>
              <w:rPr>
                <w:sz w:val="22"/>
                <w:szCs w:val="22"/>
              </w:rPr>
              <w:t xml:space="preserve">d) uffici competenti per il collocamento mirato, relativamente ai dati anagrafici degli assunti appartenenti alle "categorie protette"; </w:t>
            </w:r>
          </w:p>
          <w:p>
            <w:pPr>
              <w:jc w:val="both"/>
            </w:pPr>
            <w:r>
              <w:rPr>
                <w:sz w:val="22"/>
                <w:szCs w:val="22"/>
              </w:rPr>
              <w:t xml:space="preserve">e) strutture sanitarie competenti per le visite fiscali (art. 5, l. n. 300/1970 e CCNL); </w:t>
            </w:r>
          </w:p>
          <w:p>
            <w:pPr>
              <w:jc w:val="both"/>
            </w:pPr>
            <w:r>
              <w:rPr>
                <w:sz w:val="22"/>
                <w:szCs w:val="22"/>
              </w:rPr>
              <w:t xml:space="preserve">f) enti di appartenenza dei lavoratori comandati in entrata (per definire il trattamento retributivo del dipendente); </w:t>
            </w:r>
          </w:p>
          <w:p>
            <w:pPr>
              <w:jc w:val="both"/>
            </w:pPr>
            <w:r>
              <w:rPr>
                <w:sz w:val="22"/>
                <w:szCs w:val="22"/>
              </w:rPr>
              <w:t xml:space="preserve">g) Ministero economia e finanze nel caso in cui l'ente svolga funzioni di centro assistenza fiscale (ai sensi dell'art. 17 del d.m. 31.05.1999, n. 164 e nel rispetto dell'art. 12 bis del d.P.R. 29.09.1973, n. 600); </w:t>
            </w:r>
          </w:p>
          <w:p>
            <w:pPr>
              <w:jc w:val="both"/>
            </w:pPr>
            <w:r>
              <w:rPr>
                <w:sz w:val="22"/>
                <w:szCs w:val="22"/>
              </w:rPr>
              <w:t xml:space="preserve">h) ISPELS (ax art. 70 d.lgs. n. 626/1994)</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Collaboratori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Stipendi e Paghe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