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UFFICIO PERSONALE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Ufficio gestione giuridica del personale dipendente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02 - Personale/Trattamento di dati relativi alla gestione del rapporto di lavoro del personale impiegato a vario titolo presso il Comune - attivita' relativa al riconoscimento di benefici connessi all'invalidita' civile per il personale e all'invalidita' derivante da cause di servizio, nonche' da riconoscimento di inabilita' a svolgere attivita' lavorativa</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UFFICIO PERSONALE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Ufficio gestione giuridica del personale dipendente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Dott.ssa Galli M. Cristina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02 - I dati vengono acquisiti dall'interessato e da terzi previa richiesta dell'interessato (in particolare dalla Commissione medico ospedaliera territorialmente competente per l'accertamento delle condizioni di idoneita' al servizio e dal Comitato di verifica per le cause di servizio in caso di richiesta di riconoscimento di invalidita' dipendente da causa di servizio e/o equo indennizzo). In caso di richiesta di pensione privilegiata, i dati vengono trasmessi all'Inpdap per l'erogazione del trattamento pensionistico. Uguale trasmissione si ha nell'ipotesi di richiesta di riconoscimento alla contribuzione figurativa di cui all'art. 80, l. n. 388/2000. Esperita l'istruttoria, la determinazione dirigenziale relativa al riconoscimento dell'invalidita' viene comunicata all'INPS o alle Regioni (per gli accertamenti connessi alla liquidazione ai sensi dell'art. 130 d.lg. n. 112/1998). 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D.P.R. 30.06.1965, n. 1124 - L. 24.05.1970, n. 336 - Legge 5.02.1992, n. 104 - L. 12.03.1999, n. 68 - D.P.R. 29.10.2001, n. 461 - L. 8.08.1995, n. 335 - L. 8.03. 1968, n. 152 - Legge regionale - regolamento comunale in materia di organizzazione del personale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02 - Base di dati: sistema informativo gestione giuridica del personale, comunicata all'Agenzia per l'Italia digitale in attuazione dell'art. 24-quater, comma 2, del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02 - Trattamento effettuato per finalita' di gestione del rapporto di lavoro in tutte le sue fasi.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02 - Trattamento effettuato per rilevanti finalita' di interesse pubbliconella seguente materia: concessione, liquidazione modifica e revoca di benefici economici, agevolazioni, elargizioni, emolumenti ai sensi dell'art. 2-sexies, comma 2 lett. m) D.Lgs. n. 196/2003 come modificato dal D.Lgs. n. 101/2018</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02 - Particolari forme di elaborazione - Comunicazione ai seguenti soggetti per le seguenti finalita' (con specificazione ed indicazione dell'eventuale base normativa): </w:t>
            </w:r>
          </w:p>
          <w:p>
            <w:pPr>
              <w:jc w:val="both"/>
            </w:pPr>
            <w:r>
              <w:rPr>
                <w:sz w:val="22"/>
                <w:szCs w:val="22"/>
              </w:rPr>
              <w:t xml:space="preserve">a) INAIL (per verificare la liquidazione in caso di equo indennizzo ai sensi del d.P.R. n. 1124/1965); </w:t>
            </w:r>
          </w:p>
          <w:p>
            <w:pPr>
              <w:jc w:val="both"/>
            </w:pPr>
            <w:r>
              <w:rPr>
                <w:sz w:val="22"/>
                <w:szCs w:val="22"/>
              </w:rPr>
              <w:t xml:space="preserve">b) comitato di verifica per le cause di servizio e commissione medica territorialmente competente (per conseguire il parere definitivo di riconoscimento della causa di servizio ai sensi del d.P.R. n. 461/2001); </w:t>
            </w:r>
          </w:p>
          <w:p>
            <w:pPr>
              <w:jc w:val="both"/>
            </w:pPr>
            <w:r>
              <w:rPr>
                <w:sz w:val="22"/>
                <w:szCs w:val="22"/>
              </w:rPr>
              <w:t xml:space="preserve">c) INPDAP (in caso di inabilita' assoluta e permanente a qualsiasi attivita' lavorativa ai fini dell'erogazione del relativo trattamento di pensione e del riconoscimento del diritto alla pensione privilegiata ai sensi della l. n. 335/1995 e della l. n. 152/1968)</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Personale dipendente</w:t>
            </w:r>
          </w:p>
          <w:p>
            <w:pPr>
              <w:jc w:val="both"/>
            </w:pPr>
            <w:r>
              <w:rPr>
                <w:sz w:val="22"/>
                <w:szCs w:val="22"/>
              </w:rPr>
              <w:t xml:space="preserve">- Dirigenti e dipendenti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Organismi del servizio sanitario nazionale</w:t>
            </w:r>
          </w:p>
          <w:p>
            <w:pPr>
              <w:jc w:val="both"/>
            </w:pPr>
            <w:r>
              <w:rPr>
                <w:sz w:val="22"/>
                <w:szCs w:val="22"/>
              </w:rPr>
              <w:t xml:space="preserve">-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Riconoscimento di benefici connessi all'invalidita' civile per il personale e all'invalidita' derivante da cause di servizio, nonche' da riconoscimento di inabilita' a svolgere attivita' lavorativa</w:t>
      </w:r>
    </w:p>
    <w:p>
      <w:pPr>
        <w:jc w:val="both"/>
      </w:pPr>
      <w:r>
        <w:rPr>
          <w:sz w:val="22"/>
          <w:szCs w:val="22"/>
        </w:rPr>
        <w:t xml:space="preserve">Assunzione personale appartenente a categorie protette (Legge 68/1999)</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